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F9" w:rsidRPr="00E311F9" w:rsidRDefault="00E311F9" w:rsidP="009906BC">
      <w:pPr>
        <w:pStyle w:val="Nadpis4"/>
        <w:jc w:val="center"/>
        <w:rPr>
          <w:sz w:val="40"/>
          <w:szCs w:val="40"/>
        </w:rPr>
      </w:pPr>
      <w:r w:rsidRPr="00E311F9">
        <w:rPr>
          <w:sz w:val="40"/>
          <w:szCs w:val="40"/>
        </w:rPr>
        <w:t xml:space="preserve">Obec </w:t>
      </w:r>
      <w:proofErr w:type="spellStart"/>
      <w:r w:rsidRPr="00E311F9">
        <w:rPr>
          <w:sz w:val="40"/>
          <w:szCs w:val="40"/>
        </w:rPr>
        <w:t>Bříšťany</w:t>
      </w:r>
      <w:proofErr w:type="spellEnd"/>
    </w:p>
    <w:p w:rsidR="009906BC" w:rsidRPr="00E311F9" w:rsidRDefault="009906BC" w:rsidP="009906BC">
      <w:pPr>
        <w:pStyle w:val="Nadpis4"/>
        <w:jc w:val="center"/>
      </w:pPr>
      <w:r w:rsidRPr="009420CA">
        <w:t xml:space="preserve">Směrnice </w:t>
      </w:r>
      <w:proofErr w:type="gramStart"/>
      <w:r w:rsidRPr="009420CA">
        <w:t>č.</w:t>
      </w:r>
      <w:r w:rsidR="00AB1DFE">
        <w:t>13</w:t>
      </w:r>
      <w:proofErr w:type="gramEnd"/>
      <w:r w:rsidRPr="009420CA">
        <w:t xml:space="preserve"> </w:t>
      </w:r>
      <w:r w:rsidR="00E311F9">
        <w:t>/2023</w:t>
      </w:r>
    </w:p>
    <w:p w:rsidR="009906BC" w:rsidRDefault="009906BC" w:rsidP="009906BC">
      <w:pPr>
        <w:pStyle w:val="n00"/>
        <w:ind w:left="4248" w:firstLine="708"/>
        <w:rPr>
          <w:b/>
        </w:rPr>
      </w:pPr>
      <w:r>
        <w:rPr>
          <w:b/>
        </w:rPr>
        <w:t>Rezervy</w:t>
      </w:r>
    </w:p>
    <w:p w:rsidR="009906BC" w:rsidRPr="009420CA" w:rsidRDefault="009906BC" w:rsidP="009906BC">
      <w:pPr>
        <w:pStyle w:val="n00"/>
        <w:ind w:left="4248" w:firstLine="708"/>
        <w:rPr>
          <w:b/>
        </w:rPr>
      </w:pPr>
      <w:r>
        <w:rPr>
          <w:b/>
        </w:rPr>
        <w:t>I. Úvod</w:t>
      </w:r>
    </w:p>
    <w:p w:rsidR="009906BC" w:rsidRDefault="009906BC" w:rsidP="009906BC">
      <w:pPr>
        <w:pStyle w:val="n00"/>
      </w:pPr>
      <w:r w:rsidRPr="00DD393C">
        <w:rPr>
          <w:b/>
        </w:rPr>
        <w:t>Účinnost:</w:t>
      </w:r>
      <w:r w:rsidR="00AB1DFE">
        <w:t xml:space="preserve">  únor </w:t>
      </w:r>
      <w:r w:rsidR="00E311F9">
        <w:t>2023</w:t>
      </w:r>
    </w:p>
    <w:p w:rsidR="009906BC" w:rsidRDefault="009906BC" w:rsidP="009906BC">
      <w:pPr>
        <w:pStyle w:val="n00"/>
      </w:pPr>
      <w:r w:rsidRPr="00DD393C">
        <w:rPr>
          <w:b/>
        </w:rPr>
        <w:t>Odpovědný pracovník za vydání směrnice a aktualizaci:</w:t>
      </w:r>
      <w:r>
        <w:rPr>
          <w:b/>
        </w:rPr>
        <w:t xml:space="preserve"> </w:t>
      </w:r>
      <w:r w:rsidR="00E311F9">
        <w:t xml:space="preserve">starostka </w:t>
      </w:r>
      <w:proofErr w:type="spellStart"/>
      <w:r w:rsidR="00E311F9">
        <w:t>Čelišová</w:t>
      </w:r>
      <w:proofErr w:type="spellEnd"/>
      <w:r w:rsidR="00E311F9">
        <w:t xml:space="preserve"> Lucie</w:t>
      </w:r>
    </w:p>
    <w:p w:rsidR="00E311F9" w:rsidRDefault="009906BC" w:rsidP="009906BC">
      <w:pPr>
        <w:pStyle w:val="n00"/>
      </w:pPr>
      <w:r w:rsidRPr="00DD393C">
        <w:rPr>
          <w:b/>
        </w:rPr>
        <w:t>Projednání a schválení:</w:t>
      </w:r>
      <w:r>
        <w:t xml:space="preserve"> </w:t>
      </w:r>
      <w:r w:rsidR="00E311F9">
        <w:t xml:space="preserve">starostka </w:t>
      </w:r>
      <w:proofErr w:type="spellStart"/>
      <w:r w:rsidR="00E311F9">
        <w:t>Čelišová</w:t>
      </w:r>
      <w:proofErr w:type="spellEnd"/>
      <w:r w:rsidR="00E311F9">
        <w:t xml:space="preserve"> Lucie</w:t>
      </w:r>
    </w:p>
    <w:p w:rsidR="009906BC" w:rsidRDefault="009906BC" w:rsidP="009906BC">
      <w:pPr>
        <w:pStyle w:val="n00"/>
      </w:pPr>
      <w:r>
        <w:tab/>
      </w:r>
      <w:r>
        <w:tab/>
      </w:r>
      <w:r>
        <w:tab/>
      </w:r>
      <w:r>
        <w:tab/>
      </w:r>
    </w:p>
    <w:p w:rsidR="009906BC" w:rsidRPr="00DD393C" w:rsidRDefault="009906BC" w:rsidP="009906BC">
      <w:pPr>
        <w:pStyle w:val="n00"/>
        <w:rPr>
          <w:b/>
        </w:rPr>
      </w:pPr>
      <w:r w:rsidRPr="00DD393C">
        <w:rPr>
          <w:b/>
        </w:rPr>
        <w:t>Legislativní východiska:</w:t>
      </w:r>
    </w:p>
    <w:p w:rsidR="009906BC" w:rsidRPr="009B1CDF" w:rsidRDefault="009906BC" w:rsidP="009906BC">
      <w:pPr>
        <w:pStyle w:val="n00"/>
        <w:rPr>
          <w:b/>
          <w:szCs w:val="24"/>
        </w:rPr>
      </w:pPr>
      <w:r w:rsidRPr="009B1CDF">
        <w:rPr>
          <w:b/>
          <w:szCs w:val="24"/>
        </w:rPr>
        <w:t>Zákon o účetnictví; §26 odst. 3</w:t>
      </w:r>
    </w:p>
    <w:p w:rsidR="009906BC" w:rsidRPr="00E311F9" w:rsidRDefault="009906BC" w:rsidP="009906BC">
      <w:pPr>
        <w:pStyle w:val="n00"/>
        <w:rPr>
          <w:rFonts w:ascii="Arial" w:hAnsi="Arial" w:cs="Arial"/>
          <w:sz w:val="20"/>
        </w:rPr>
      </w:pPr>
      <w:r w:rsidRPr="00E311F9">
        <w:rPr>
          <w:rFonts w:ascii="Arial" w:hAnsi="Arial" w:cs="Arial"/>
          <w:sz w:val="20"/>
        </w:rPr>
        <w:t xml:space="preserve">Ustanovení o oceňování podle §25 odst. </w:t>
      </w:r>
      <w:r w:rsidRPr="00E311F9">
        <w:rPr>
          <w:rFonts w:ascii="Arial" w:hAnsi="Arial" w:cs="Arial"/>
          <w:i/>
          <w:sz w:val="20"/>
        </w:rPr>
        <w:t>3</w:t>
      </w:r>
      <w:r w:rsidRPr="00E311F9">
        <w:rPr>
          <w:rFonts w:ascii="Arial" w:hAnsi="Arial" w:cs="Arial"/>
          <w:sz w:val="20"/>
        </w:rPr>
        <w:t xml:space="preserve"> vyjadřují rezervy, opravné položky a odpisy majetku. Rezervami podle tohoto zákona se rozumí rezerva na rizika a ztráty, rezerva na daň z příjmů, rezerva na důchody a podobné závazky, rezerva na restrukturalizaci. Rezervami se dále rozumí technické rezervy nebo jiné rezervy podle zvláštních právních předpisů. Opravnými položkami se vyjadřuje přechodné snížení hodnoty majetku; odpisy majetku vyjadřují trvalé snížení jeho hodnoty.</w:t>
      </w:r>
    </w:p>
    <w:p w:rsidR="009906BC" w:rsidRPr="00820508" w:rsidRDefault="009906BC" w:rsidP="009906BC">
      <w:pPr>
        <w:pStyle w:val="n00"/>
        <w:rPr>
          <w:b/>
          <w:szCs w:val="24"/>
        </w:rPr>
      </w:pPr>
      <w:r w:rsidRPr="00820508">
        <w:rPr>
          <w:b/>
          <w:szCs w:val="24"/>
        </w:rPr>
        <w:t>Vyhláška č. 410/2009 Sb., §67</w:t>
      </w:r>
    </w:p>
    <w:p w:rsidR="00D262FE" w:rsidRPr="00E311F9" w:rsidRDefault="00D262FE" w:rsidP="00D262FE">
      <w:pPr>
        <w:pStyle w:val="n00"/>
        <w:spacing w:before="0"/>
        <w:rPr>
          <w:rFonts w:ascii="Arial" w:hAnsi="Arial" w:cs="Arial"/>
          <w:sz w:val="20"/>
        </w:rPr>
      </w:pPr>
      <w:r w:rsidRPr="00E311F9">
        <w:rPr>
          <w:rFonts w:ascii="Arial" w:hAnsi="Arial" w:cs="Arial"/>
          <w:sz w:val="20"/>
        </w:rPr>
        <w:t>§67 Postup tvorby a použití rezerv</w:t>
      </w:r>
    </w:p>
    <w:p w:rsidR="00D262FE" w:rsidRPr="00E311F9" w:rsidRDefault="00D262FE" w:rsidP="00D262FE">
      <w:pPr>
        <w:pStyle w:val="Textodstavce"/>
        <w:numPr>
          <w:ilvl w:val="0"/>
          <w:numId w:val="0"/>
        </w:numPr>
        <w:tabs>
          <w:tab w:val="clear" w:pos="426"/>
          <w:tab w:val="num" w:pos="360"/>
          <w:tab w:val="left" w:pos="851"/>
        </w:tabs>
        <w:suppressAutoHyphens w:val="0"/>
        <w:spacing w:before="0" w:after="0"/>
        <w:rPr>
          <w:rFonts w:ascii="Arial" w:hAnsi="Arial" w:cs="Arial"/>
          <w:sz w:val="20"/>
        </w:rPr>
      </w:pPr>
      <w:r w:rsidRPr="00E311F9">
        <w:rPr>
          <w:rFonts w:ascii="Arial" w:hAnsi="Arial" w:cs="Arial"/>
          <w:sz w:val="20"/>
        </w:rPr>
        <w:t>Rezervy jsou určeny k pokrytí budoucích závazků nebo výdajů podle §26 zákona, u nichž je znám účel, je pravděpodobné, že nastanou, avšak zpravidla není jistá částka nebo datum, k němuž vzniknou, s výjimkou podmíněných závazků a dalších podmíněných pasiv. U rezerv podle jiných právních předpisů se postupuje podle těchto předpisů.</w:t>
      </w:r>
    </w:p>
    <w:p w:rsidR="00D262FE" w:rsidRPr="00E311F9" w:rsidRDefault="00D262FE" w:rsidP="00D262FE">
      <w:pPr>
        <w:pStyle w:val="Textodstavce"/>
        <w:numPr>
          <w:ilvl w:val="0"/>
          <w:numId w:val="0"/>
        </w:numPr>
        <w:tabs>
          <w:tab w:val="clear" w:pos="426"/>
          <w:tab w:val="left" w:pos="851"/>
        </w:tabs>
        <w:suppressAutoHyphens w:val="0"/>
        <w:spacing w:before="0" w:after="0"/>
        <w:rPr>
          <w:rFonts w:ascii="Arial" w:hAnsi="Arial" w:cs="Arial"/>
          <w:sz w:val="20"/>
        </w:rPr>
      </w:pPr>
    </w:p>
    <w:p w:rsidR="00D262FE" w:rsidRPr="00E311F9" w:rsidRDefault="00D262FE" w:rsidP="00D262FE">
      <w:pPr>
        <w:pStyle w:val="Textodstavce"/>
        <w:numPr>
          <w:ilvl w:val="0"/>
          <w:numId w:val="5"/>
        </w:numPr>
        <w:tabs>
          <w:tab w:val="clear" w:pos="360"/>
          <w:tab w:val="clear" w:pos="426"/>
          <w:tab w:val="left" w:pos="708"/>
        </w:tabs>
        <w:suppressAutoHyphens w:val="0"/>
        <w:spacing w:before="0"/>
        <w:ind w:left="567" w:hanging="567"/>
        <w:textAlignment w:val="auto"/>
        <w:rPr>
          <w:rFonts w:ascii="Arial" w:hAnsi="Arial" w:cs="Arial"/>
          <w:sz w:val="20"/>
        </w:rPr>
      </w:pPr>
      <w:r w:rsidRPr="00E311F9">
        <w:rPr>
          <w:rFonts w:ascii="Arial" w:hAnsi="Arial" w:cs="Arial"/>
          <w:sz w:val="20"/>
        </w:rPr>
        <w:t xml:space="preserve">Tvorba a zvýšení rezervy podle §26 zákona se účtuje prostřednictvím příslušného účtu nákladů. Použití, snížení nebo zrušení rezervy pro nepotřebnost se účtuje opět prostřednictvím příslušného účtu nákladů. </w:t>
      </w:r>
    </w:p>
    <w:p w:rsidR="00D262FE" w:rsidRPr="00E311F9" w:rsidRDefault="00D262FE" w:rsidP="00D262FE">
      <w:pPr>
        <w:pStyle w:val="Textodstavce"/>
        <w:numPr>
          <w:ilvl w:val="0"/>
          <w:numId w:val="5"/>
        </w:numPr>
        <w:tabs>
          <w:tab w:val="clear" w:pos="360"/>
          <w:tab w:val="clear" w:pos="426"/>
          <w:tab w:val="left" w:pos="708"/>
        </w:tabs>
        <w:suppressAutoHyphens w:val="0"/>
        <w:spacing w:before="0"/>
        <w:ind w:left="567" w:hanging="567"/>
        <w:textAlignment w:val="auto"/>
        <w:rPr>
          <w:rFonts w:ascii="Arial" w:hAnsi="Arial" w:cs="Arial"/>
          <w:sz w:val="20"/>
        </w:rPr>
      </w:pPr>
      <w:r w:rsidRPr="00E311F9">
        <w:rPr>
          <w:rFonts w:ascii="Arial" w:hAnsi="Arial" w:cs="Arial"/>
          <w:sz w:val="20"/>
        </w:rPr>
        <w:t xml:space="preserve">U rezerv podle jiných právních předpisů [35] se postupuje podle těchto předpisů. </w:t>
      </w:r>
    </w:p>
    <w:p w:rsidR="00D262FE" w:rsidRPr="00E311F9" w:rsidRDefault="00D262FE" w:rsidP="00D262FE">
      <w:pPr>
        <w:pStyle w:val="Textodstavce"/>
        <w:numPr>
          <w:ilvl w:val="0"/>
          <w:numId w:val="5"/>
        </w:numPr>
        <w:tabs>
          <w:tab w:val="clear" w:pos="360"/>
          <w:tab w:val="clear" w:pos="426"/>
          <w:tab w:val="left" w:pos="708"/>
        </w:tabs>
        <w:suppressAutoHyphens w:val="0"/>
        <w:spacing w:before="0"/>
        <w:ind w:left="567" w:hanging="567"/>
        <w:textAlignment w:val="auto"/>
        <w:rPr>
          <w:rFonts w:ascii="Arial" w:hAnsi="Arial" w:cs="Arial"/>
          <w:sz w:val="20"/>
        </w:rPr>
      </w:pPr>
      <w:r w:rsidRPr="00E311F9">
        <w:rPr>
          <w:rFonts w:ascii="Arial" w:hAnsi="Arial" w:cs="Arial"/>
          <w:sz w:val="20"/>
        </w:rPr>
        <w:t xml:space="preserve">Rezervy nesmějí mít aktivní zůstatek. </w:t>
      </w:r>
    </w:p>
    <w:p w:rsidR="009906BC" w:rsidRPr="00D7127F" w:rsidRDefault="009906BC" w:rsidP="00D262FE">
      <w:pPr>
        <w:pStyle w:val="Textodstavce"/>
        <w:numPr>
          <w:ilvl w:val="0"/>
          <w:numId w:val="0"/>
        </w:numPr>
        <w:tabs>
          <w:tab w:val="clear" w:pos="426"/>
          <w:tab w:val="left" w:pos="851"/>
        </w:tabs>
        <w:suppressAutoHyphens w:val="0"/>
        <w:autoSpaceDN/>
        <w:spacing w:before="0" w:after="0"/>
        <w:textAlignment w:val="auto"/>
        <w:rPr>
          <w:rFonts w:ascii="Arial" w:hAnsi="Arial" w:cs="Arial"/>
          <w:sz w:val="20"/>
          <w:highlight w:val="lightGray"/>
        </w:rPr>
      </w:pPr>
    </w:p>
    <w:p w:rsidR="009906BC" w:rsidRPr="009B1CDF" w:rsidRDefault="009906BC" w:rsidP="009906BC">
      <w:pPr>
        <w:pStyle w:val="n00"/>
        <w:rPr>
          <w:b/>
          <w:szCs w:val="24"/>
        </w:rPr>
      </w:pPr>
      <w:r w:rsidRPr="009B1CDF">
        <w:rPr>
          <w:b/>
          <w:szCs w:val="24"/>
        </w:rPr>
        <w:t>Zákon č. 593/1992 Sb. o rezervách pro zjištění základu daně z příjmů</w:t>
      </w:r>
    </w:p>
    <w:p w:rsidR="009906BC" w:rsidRDefault="009906BC" w:rsidP="009906BC">
      <w:pPr>
        <w:pStyle w:val="Textodstavce"/>
        <w:numPr>
          <w:ilvl w:val="0"/>
          <w:numId w:val="0"/>
        </w:numPr>
        <w:rPr>
          <w:szCs w:val="24"/>
        </w:rPr>
      </w:pPr>
      <w:r w:rsidRPr="006F7C70">
        <w:rPr>
          <w:szCs w:val="24"/>
        </w:rPr>
        <w:t>S ohledem na rozsah příslušn</w:t>
      </w:r>
      <w:r>
        <w:rPr>
          <w:szCs w:val="24"/>
        </w:rPr>
        <w:t>ých</w:t>
      </w:r>
      <w:r w:rsidRPr="006F7C70">
        <w:rPr>
          <w:szCs w:val="24"/>
        </w:rPr>
        <w:t xml:space="preserve"> ustanovení nebudeme v této části uvádět </w:t>
      </w:r>
      <w:r>
        <w:rPr>
          <w:szCs w:val="24"/>
        </w:rPr>
        <w:t>jejich citaci.</w:t>
      </w:r>
      <w:r w:rsidRPr="006F7C70">
        <w:rPr>
          <w:szCs w:val="24"/>
        </w:rPr>
        <w:t xml:space="preserve"> </w:t>
      </w:r>
      <w:r>
        <w:rPr>
          <w:szCs w:val="24"/>
        </w:rPr>
        <w:t>J</w:t>
      </w:r>
      <w:r w:rsidRPr="006F7C70">
        <w:rPr>
          <w:szCs w:val="24"/>
        </w:rPr>
        <w:t>edná se zejména o ustanovení §7 (rezerva na opravy dlouhodobého hmotného majetku), §9 (rezerva na pěstební činnost), §10 (ostatní rezervy).</w:t>
      </w:r>
    </w:p>
    <w:p w:rsidR="0030339A" w:rsidRDefault="0030339A" w:rsidP="0030339A">
      <w:pPr>
        <w:autoSpaceDE w:val="0"/>
        <w:adjustRightInd w:val="0"/>
        <w:rPr>
          <w:bCs/>
          <w:color w:val="000000"/>
        </w:rPr>
      </w:pPr>
      <w:r w:rsidRPr="0030339A">
        <w:rPr>
          <w:b/>
          <w:color w:val="000000"/>
        </w:rPr>
        <w:t>ČÚS 705</w:t>
      </w:r>
      <w:r w:rsidRPr="00306204">
        <w:rPr>
          <w:bCs/>
          <w:color w:val="000000"/>
        </w:rPr>
        <w:t xml:space="preserve"> </w:t>
      </w:r>
    </w:p>
    <w:p w:rsidR="0030339A" w:rsidRPr="0030339A" w:rsidRDefault="0030339A" w:rsidP="0030339A">
      <w:pPr>
        <w:autoSpaceDE w:val="0"/>
        <w:adjustRightInd w:val="0"/>
        <w:rPr>
          <w:b/>
          <w:color w:val="000000"/>
        </w:rPr>
      </w:pPr>
      <w:r>
        <w:rPr>
          <w:bCs/>
          <w:color w:val="000000"/>
        </w:rPr>
        <w:t xml:space="preserve">Bod 3.5. a 3.7. standardu </w:t>
      </w:r>
      <w:r w:rsidRPr="0030339A">
        <w:rPr>
          <w:b/>
          <w:color w:val="000000"/>
        </w:rPr>
        <w:t>stanovuje povinnosti pro účetní jednotky ve vztahu k vytvoření vnitřního předpisu k tvorbě rezerv:</w:t>
      </w:r>
    </w:p>
    <w:p w:rsidR="0030339A" w:rsidRPr="00E311F9" w:rsidRDefault="0030339A" w:rsidP="00D262FE">
      <w:pPr>
        <w:rPr>
          <w:rFonts w:ascii="Arial" w:hAnsi="Arial" w:cs="Arial"/>
          <w:sz w:val="20"/>
        </w:rPr>
      </w:pPr>
      <w:r w:rsidRPr="00E311F9">
        <w:rPr>
          <w:rFonts w:ascii="Arial" w:hAnsi="Arial" w:cs="Arial"/>
          <w:sz w:val="20"/>
        </w:rPr>
        <w:t>3.5. Nestanoví-li jiný právní předpis jinak, výši rezervy stanoví účetní jednotka vnitřním předpisem, a to</w:t>
      </w:r>
    </w:p>
    <w:p w:rsidR="0030339A" w:rsidRPr="00E311F9" w:rsidRDefault="0030339A" w:rsidP="00D262FE">
      <w:pPr>
        <w:numPr>
          <w:ilvl w:val="2"/>
          <w:numId w:val="3"/>
        </w:numPr>
        <w:autoSpaceDN/>
        <w:jc w:val="both"/>
        <w:textAlignment w:val="auto"/>
        <w:rPr>
          <w:rFonts w:ascii="Arial" w:hAnsi="Arial" w:cs="Arial"/>
          <w:sz w:val="20"/>
        </w:rPr>
      </w:pPr>
      <w:r w:rsidRPr="00E311F9">
        <w:rPr>
          <w:rFonts w:ascii="Arial" w:hAnsi="Arial" w:cs="Arial"/>
          <w:sz w:val="20"/>
        </w:rPr>
        <w:t>odhadem výše předpokládaného následku budoucího rizika,</w:t>
      </w:r>
    </w:p>
    <w:p w:rsidR="0030339A" w:rsidRPr="00E311F9" w:rsidRDefault="0030339A" w:rsidP="00D262FE">
      <w:pPr>
        <w:numPr>
          <w:ilvl w:val="2"/>
          <w:numId w:val="3"/>
        </w:numPr>
        <w:autoSpaceDN/>
        <w:jc w:val="both"/>
        <w:textAlignment w:val="auto"/>
        <w:rPr>
          <w:rFonts w:ascii="Arial" w:hAnsi="Arial" w:cs="Arial"/>
          <w:sz w:val="20"/>
        </w:rPr>
      </w:pPr>
      <w:r w:rsidRPr="00E311F9">
        <w:rPr>
          <w:rFonts w:ascii="Arial" w:hAnsi="Arial" w:cs="Arial"/>
          <w:sz w:val="20"/>
        </w:rPr>
        <w:t>procentem z odhadované výše předpokládaného následku budoucího rizika, nebo</w:t>
      </w:r>
    </w:p>
    <w:p w:rsidR="0030339A" w:rsidRPr="00E311F9" w:rsidRDefault="0030339A" w:rsidP="00D262FE">
      <w:pPr>
        <w:numPr>
          <w:ilvl w:val="2"/>
          <w:numId w:val="3"/>
        </w:numPr>
        <w:autoSpaceDN/>
        <w:jc w:val="both"/>
        <w:textAlignment w:val="auto"/>
        <w:rPr>
          <w:rFonts w:ascii="Arial" w:hAnsi="Arial" w:cs="Arial"/>
          <w:sz w:val="20"/>
        </w:rPr>
      </w:pPr>
      <w:r w:rsidRPr="00E311F9">
        <w:rPr>
          <w:rFonts w:ascii="Arial" w:hAnsi="Arial" w:cs="Arial"/>
          <w:sz w:val="20"/>
        </w:rPr>
        <w:t xml:space="preserve">jiným vhodným způsobem. </w:t>
      </w:r>
    </w:p>
    <w:p w:rsidR="0030339A" w:rsidRPr="00E311F9" w:rsidRDefault="0030339A" w:rsidP="00D262FE"/>
    <w:p w:rsidR="00D262FE" w:rsidRPr="00E311F9" w:rsidRDefault="00D262FE" w:rsidP="00E311F9">
      <w:pPr>
        <w:rPr>
          <w:rFonts w:ascii="Arial" w:hAnsi="Arial" w:cs="Arial"/>
          <w:sz w:val="20"/>
        </w:rPr>
      </w:pPr>
      <w:r w:rsidRPr="00E311F9">
        <w:rPr>
          <w:rFonts w:ascii="Arial" w:hAnsi="Arial" w:cs="Arial"/>
          <w:sz w:val="20"/>
        </w:rPr>
        <w:t>3.7. Účetní jednotka zajišťuje naplnění ustanovení §8 odst. 4 zákona zejména vnitřním předpisem upravujícím především</w:t>
      </w:r>
    </w:p>
    <w:p w:rsidR="00D262FE" w:rsidRPr="00E311F9" w:rsidRDefault="00D262FE" w:rsidP="00E311F9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  <w:sz w:val="20"/>
        </w:rPr>
      </w:pPr>
      <w:r w:rsidRPr="00E311F9">
        <w:rPr>
          <w:rFonts w:ascii="Arial" w:hAnsi="Arial" w:cs="Arial"/>
          <w:sz w:val="20"/>
        </w:rPr>
        <w:t>hranici významnosti pro účtování o rezervách2),</w:t>
      </w:r>
    </w:p>
    <w:p w:rsidR="00D262FE" w:rsidRPr="00E311F9" w:rsidRDefault="00D262FE" w:rsidP="00E311F9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  <w:sz w:val="20"/>
        </w:rPr>
      </w:pPr>
      <w:r w:rsidRPr="00E311F9">
        <w:rPr>
          <w:rFonts w:ascii="Arial" w:hAnsi="Arial" w:cs="Arial"/>
          <w:sz w:val="20"/>
        </w:rPr>
        <w:t>tituly pro tvorbu rezerv, například soudní spory, prováděné a neuzavřené kontroly v účetní jednotce nebo sanace ekologických zátěží,</w:t>
      </w:r>
    </w:p>
    <w:p w:rsidR="00D262FE" w:rsidRPr="00E311F9" w:rsidRDefault="00D262FE" w:rsidP="00E311F9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  <w:sz w:val="20"/>
        </w:rPr>
      </w:pPr>
      <w:r w:rsidRPr="00E311F9">
        <w:rPr>
          <w:rFonts w:ascii="Arial" w:hAnsi="Arial" w:cs="Arial"/>
          <w:sz w:val="20"/>
        </w:rPr>
        <w:t>způsob jejich tvorby, zvýšení, snížení, použití a zrušení, včetně inventarizace a</w:t>
      </w:r>
    </w:p>
    <w:p w:rsidR="00D262FE" w:rsidRPr="00E311F9" w:rsidRDefault="00D262FE" w:rsidP="00E311F9">
      <w:pPr>
        <w:numPr>
          <w:ilvl w:val="1"/>
          <w:numId w:val="4"/>
        </w:numPr>
        <w:suppressAutoHyphens/>
        <w:ind w:left="426" w:hanging="426"/>
        <w:jc w:val="both"/>
        <w:rPr>
          <w:rFonts w:ascii="Arial" w:hAnsi="Arial" w:cs="Arial"/>
          <w:sz w:val="20"/>
        </w:rPr>
      </w:pPr>
      <w:r w:rsidRPr="00E311F9">
        <w:rPr>
          <w:rFonts w:ascii="Arial" w:hAnsi="Arial" w:cs="Arial"/>
          <w:sz w:val="20"/>
        </w:rPr>
        <w:t>způsob tvorby, zvýšení, snížení, zrušení či čerpání rezervy podle bodu 3.6.</w:t>
      </w:r>
    </w:p>
    <w:p w:rsidR="0030339A" w:rsidRPr="00E311F9" w:rsidRDefault="0030339A" w:rsidP="00E311F9">
      <w:pPr>
        <w:autoSpaceDN/>
        <w:ind w:left="426" w:hanging="426"/>
        <w:textAlignment w:val="auto"/>
      </w:pPr>
    </w:p>
    <w:p w:rsidR="0030339A" w:rsidRDefault="00E311F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F51A2" w:rsidRDefault="00EF51A2" w:rsidP="00E311F9">
      <w:pPr>
        <w:jc w:val="center"/>
        <w:rPr>
          <w:b/>
        </w:rPr>
      </w:pPr>
    </w:p>
    <w:p w:rsidR="00EF51A2" w:rsidRDefault="00EF51A2" w:rsidP="00E311F9">
      <w:pPr>
        <w:jc w:val="center"/>
        <w:rPr>
          <w:b/>
        </w:rPr>
      </w:pPr>
    </w:p>
    <w:p w:rsidR="009906BC" w:rsidRPr="009906BC" w:rsidRDefault="009906BC" w:rsidP="00E311F9">
      <w:pPr>
        <w:jc w:val="center"/>
        <w:rPr>
          <w:b/>
        </w:rPr>
      </w:pPr>
      <w:r w:rsidRPr="009906BC">
        <w:rPr>
          <w:b/>
        </w:rPr>
        <w:lastRenderedPageBreak/>
        <w:t>I. Účetní rezervy</w:t>
      </w:r>
    </w:p>
    <w:p w:rsidR="009906BC" w:rsidRDefault="009906BC"/>
    <w:p w:rsidR="009906BC" w:rsidRPr="00155684" w:rsidRDefault="009906BC" w:rsidP="009906BC">
      <w:pPr>
        <w:widowControl w:val="0"/>
        <w:autoSpaceDE w:val="0"/>
        <w:adjustRightInd w:val="0"/>
        <w:jc w:val="both"/>
        <w:rPr>
          <w:szCs w:val="16"/>
        </w:rPr>
      </w:pPr>
      <w:r w:rsidRPr="00155684">
        <w:rPr>
          <w:szCs w:val="16"/>
        </w:rPr>
        <w:t xml:space="preserve">Účetní jednotka určuje tituly pro tvorbu rezerv: </w:t>
      </w:r>
    </w:p>
    <w:p w:rsidR="009906BC" w:rsidRPr="00155684" w:rsidRDefault="009906BC" w:rsidP="009906BC">
      <w:pPr>
        <w:widowControl w:val="0"/>
        <w:autoSpaceDE w:val="0"/>
        <w:adjustRightInd w:val="0"/>
        <w:jc w:val="both"/>
        <w:rPr>
          <w:b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1"/>
        <w:gridCol w:w="1539"/>
        <w:gridCol w:w="3535"/>
        <w:gridCol w:w="3429"/>
      </w:tblGrid>
      <w:tr w:rsidR="009906BC" w:rsidRPr="00432A82" w:rsidTr="001C08F9">
        <w:tc>
          <w:tcPr>
            <w:tcW w:w="2031" w:type="dxa"/>
          </w:tcPr>
          <w:p w:rsidR="009906BC" w:rsidRPr="00155684" w:rsidRDefault="0030339A" w:rsidP="001C08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Tituly pro tvorbu rezervy</w:t>
            </w:r>
          </w:p>
        </w:tc>
        <w:tc>
          <w:tcPr>
            <w:tcW w:w="1539" w:type="dxa"/>
          </w:tcPr>
          <w:p w:rsidR="009906BC" w:rsidRPr="00155684" w:rsidRDefault="009906BC" w:rsidP="001C08F9">
            <w:pPr>
              <w:jc w:val="center"/>
              <w:rPr>
                <w:b/>
                <w:sz w:val="22"/>
                <w:szCs w:val="22"/>
              </w:rPr>
            </w:pPr>
            <w:r w:rsidRPr="00155684">
              <w:rPr>
                <w:b/>
                <w:sz w:val="22"/>
                <w:szCs w:val="22"/>
              </w:rPr>
              <w:t>Odpovědnost</w:t>
            </w:r>
          </w:p>
        </w:tc>
        <w:tc>
          <w:tcPr>
            <w:tcW w:w="3535" w:type="dxa"/>
          </w:tcPr>
          <w:p w:rsidR="009906BC" w:rsidRPr="00155684" w:rsidRDefault="009906BC" w:rsidP="001C08F9">
            <w:pPr>
              <w:jc w:val="center"/>
              <w:rPr>
                <w:b/>
                <w:sz w:val="22"/>
                <w:szCs w:val="22"/>
              </w:rPr>
            </w:pPr>
            <w:r w:rsidRPr="00155684">
              <w:rPr>
                <w:b/>
                <w:sz w:val="22"/>
                <w:szCs w:val="22"/>
              </w:rPr>
              <w:t>Tvorba, použití, rozpuštění</w:t>
            </w:r>
          </w:p>
        </w:tc>
        <w:tc>
          <w:tcPr>
            <w:tcW w:w="3429" w:type="dxa"/>
          </w:tcPr>
          <w:p w:rsidR="009906BC" w:rsidRPr="00155684" w:rsidRDefault="009906BC" w:rsidP="001C08F9">
            <w:pPr>
              <w:jc w:val="center"/>
              <w:rPr>
                <w:b/>
                <w:sz w:val="22"/>
                <w:szCs w:val="22"/>
              </w:rPr>
            </w:pPr>
            <w:r w:rsidRPr="00155684">
              <w:rPr>
                <w:b/>
                <w:sz w:val="22"/>
                <w:szCs w:val="22"/>
              </w:rPr>
              <w:t>Ocenění</w:t>
            </w:r>
          </w:p>
        </w:tc>
      </w:tr>
      <w:tr w:rsidR="009906BC" w:rsidRPr="00432A82" w:rsidTr="001C08F9">
        <w:tc>
          <w:tcPr>
            <w:tcW w:w="2031" w:type="dxa"/>
          </w:tcPr>
          <w:p w:rsidR="009906BC" w:rsidRPr="00155684" w:rsidRDefault="009906BC" w:rsidP="001C08F9">
            <w:pPr>
              <w:rPr>
                <w:sz w:val="22"/>
                <w:szCs w:val="22"/>
              </w:rPr>
            </w:pPr>
            <w:r w:rsidRPr="00155684">
              <w:rPr>
                <w:sz w:val="22"/>
                <w:szCs w:val="22"/>
              </w:rPr>
              <w:t>Právní spory</w:t>
            </w:r>
          </w:p>
        </w:tc>
        <w:tc>
          <w:tcPr>
            <w:tcW w:w="1539" w:type="dxa"/>
          </w:tcPr>
          <w:p w:rsidR="009906BC" w:rsidRPr="0030339A" w:rsidRDefault="009906BC" w:rsidP="001C08F9">
            <w:pPr>
              <w:rPr>
                <w:i/>
                <w:iCs/>
                <w:sz w:val="22"/>
                <w:szCs w:val="22"/>
              </w:rPr>
            </w:pPr>
            <w:r w:rsidRPr="0030339A">
              <w:rPr>
                <w:i/>
                <w:iCs/>
                <w:sz w:val="22"/>
                <w:szCs w:val="22"/>
              </w:rPr>
              <w:t xml:space="preserve">Zastupující právník </w:t>
            </w:r>
          </w:p>
        </w:tc>
        <w:tc>
          <w:tcPr>
            <w:tcW w:w="3535" w:type="dxa"/>
          </w:tcPr>
          <w:p w:rsidR="009906BC" w:rsidRPr="00155684" w:rsidRDefault="009906BC" w:rsidP="001C08F9">
            <w:pPr>
              <w:rPr>
                <w:sz w:val="22"/>
                <w:szCs w:val="22"/>
              </w:rPr>
            </w:pPr>
            <w:r w:rsidRPr="00155684">
              <w:rPr>
                <w:sz w:val="22"/>
                <w:szCs w:val="22"/>
              </w:rPr>
              <w:t xml:space="preserve">Odpovědná osoba pravidelně (třeba po čtvrtletích) předkládá seznam sporů (i potenciálních), vyčísluje maximální výši škody a stanovuje dle jeho subjektivního odhadu pravděpodobnost negativního výsledku pro </w:t>
            </w:r>
            <w:r>
              <w:rPr>
                <w:sz w:val="22"/>
                <w:szCs w:val="22"/>
              </w:rPr>
              <w:t>obec</w:t>
            </w:r>
            <w:r w:rsidRPr="00155684">
              <w:rPr>
                <w:sz w:val="22"/>
                <w:szCs w:val="22"/>
              </w:rPr>
              <w:t>.</w:t>
            </w:r>
          </w:p>
          <w:p w:rsidR="009906BC" w:rsidRPr="00155684" w:rsidRDefault="009906BC" w:rsidP="001C08F9">
            <w:pPr>
              <w:rPr>
                <w:sz w:val="22"/>
                <w:szCs w:val="22"/>
              </w:rPr>
            </w:pPr>
            <w:r w:rsidRPr="00155684">
              <w:rPr>
                <w:sz w:val="22"/>
                <w:szCs w:val="22"/>
              </w:rPr>
              <w:t>Konečná výše rezervy – na základě výše uvedených podkladů – vedoucí finančního odboru, účetní</w:t>
            </w:r>
          </w:p>
        </w:tc>
        <w:tc>
          <w:tcPr>
            <w:tcW w:w="3429" w:type="dxa"/>
          </w:tcPr>
          <w:p w:rsidR="009906BC" w:rsidRPr="00155684" w:rsidRDefault="009906BC" w:rsidP="001C08F9">
            <w:pPr>
              <w:rPr>
                <w:sz w:val="22"/>
                <w:szCs w:val="22"/>
              </w:rPr>
            </w:pPr>
            <w:r w:rsidRPr="00155684">
              <w:rPr>
                <w:sz w:val="22"/>
                <w:szCs w:val="22"/>
              </w:rPr>
              <w:t>Nejlepší odhad na základě podaných informací právníkem</w:t>
            </w:r>
          </w:p>
        </w:tc>
      </w:tr>
      <w:tr w:rsidR="009906BC" w:rsidRPr="00432A82" w:rsidTr="001C08F9">
        <w:tc>
          <w:tcPr>
            <w:tcW w:w="2031" w:type="dxa"/>
          </w:tcPr>
          <w:p w:rsidR="009906BC" w:rsidRPr="00155684" w:rsidRDefault="009906BC" w:rsidP="001C08F9">
            <w:pPr>
              <w:rPr>
                <w:sz w:val="22"/>
                <w:szCs w:val="22"/>
              </w:rPr>
            </w:pPr>
            <w:r w:rsidRPr="00155684">
              <w:rPr>
                <w:sz w:val="22"/>
                <w:szCs w:val="22"/>
              </w:rPr>
              <w:t>Rizika v oblasti správních řízení (spory týkající se zadávání veřejných zakázek …, pokuty a odvody FÚ)</w:t>
            </w:r>
          </w:p>
        </w:tc>
        <w:tc>
          <w:tcPr>
            <w:tcW w:w="1539" w:type="dxa"/>
          </w:tcPr>
          <w:p w:rsidR="009906BC" w:rsidRPr="0030339A" w:rsidRDefault="009906BC" w:rsidP="001C08F9">
            <w:pPr>
              <w:rPr>
                <w:i/>
                <w:iCs/>
                <w:sz w:val="22"/>
                <w:szCs w:val="22"/>
              </w:rPr>
            </w:pPr>
            <w:r w:rsidRPr="0030339A">
              <w:rPr>
                <w:i/>
                <w:iCs/>
                <w:sz w:val="22"/>
                <w:szCs w:val="22"/>
              </w:rPr>
              <w:t xml:space="preserve">Zastupující právník </w:t>
            </w:r>
          </w:p>
        </w:tc>
        <w:tc>
          <w:tcPr>
            <w:tcW w:w="3535" w:type="dxa"/>
          </w:tcPr>
          <w:p w:rsidR="009906BC" w:rsidRPr="00155684" w:rsidRDefault="00E30ED3" w:rsidP="00F67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Osoba odpovědná za evidenci napadení správních rozhodnutí a osoba </w:t>
            </w:r>
            <w:r w:rsidR="00F67D1D">
              <w:rPr>
                <w:sz w:val="22"/>
                <w:szCs w:val="22"/>
              </w:rPr>
              <w:t>pověřená</w:t>
            </w:r>
            <w:r>
              <w:rPr>
                <w:sz w:val="22"/>
                <w:szCs w:val="22"/>
              </w:rPr>
              <w:t xml:space="preserve"> účastí ve </w:t>
            </w:r>
            <w:r w:rsidR="00F67D1D">
              <w:rPr>
                <w:sz w:val="22"/>
                <w:szCs w:val="22"/>
              </w:rPr>
              <w:t>správním</w:t>
            </w:r>
            <w:r>
              <w:rPr>
                <w:sz w:val="22"/>
                <w:szCs w:val="22"/>
              </w:rPr>
              <w:t xml:space="preserve"> řízení</w:t>
            </w:r>
            <w:r w:rsidR="00F67D1D">
              <w:rPr>
                <w:sz w:val="22"/>
                <w:szCs w:val="22"/>
              </w:rPr>
              <w:t xml:space="preserve"> </w:t>
            </w:r>
            <w:r w:rsidR="0030339A">
              <w:rPr>
                <w:sz w:val="22"/>
                <w:szCs w:val="22"/>
              </w:rPr>
              <w:t>na kontroly</w:t>
            </w:r>
            <w:r w:rsidR="00F67D1D">
              <w:rPr>
                <w:sz w:val="22"/>
                <w:szCs w:val="22"/>
              </w:rPr>
              <w:t xml:space="preserve"> činnosti</w:t>
            </w:r>
            <w:r>
              <w:rPr>
                <w:sz w:val="22"/>
                <w:szCs w:val="22"/>
              </w:rPr>
              <w:t xml:space="preserve"> účetní jednotk</w:t>
            </w:r>
            <w:r w:rsidR="00F67D1D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 w:rsidR="00F67D1D">
              <w:rPr>
                <w:sz w:val="22"/>
                <w:szCs w:val="22"/>
              </w:rPr>
              <w:t>vyčísluje</w:t>
            </w:r>
            <w:r w:rsidR="004323FB" w:rsidRPr="00F67D1D">
              <w:rPr>
                <w:i/>
                <w:sz w:val="22"/>
                <w:szCs w:val="22"/>
              </w:rPr>
              <w:t>… (</w:t>
            </w:r>
            <w:r w:rsidR="00F67D1D" w:rsidRPr="00F67D1D">
              <w:rPr>
                <w:i/>
                <w:sz w:val="22"/>
                <w:szCs w:val="22"/>
              </w:rPr>
              <w:t>stejně jako předchozí řádek)</w:t>
            </w:r>
          </w:p>
        </w:tc>
        <w:tc>
          <w:tcPr>
            <w:tcW w:w="3429" w:type="dxa"/>
          </w:tcPr>
          <w:p w:rsidR="009906BC" w:rsidRPr="00155684" w:rsidRDefault="009906BC" w:rsidP="001C08F9">
            <w:pPr>
              <w:rPr>
                <w:sz w:val="22"/>
                <w:szCs w:val="22"/>
              </w:rPr>
            </w:pPr>
            <w:r w:rsidRPr="00155684">
              <w:rPr>
                <w:sz w:val="22"/>
                <w:szCs w:val="22"/>
              </w:rPr>
              <w:t xml:space="preserve">Nejlepší odhad na základě vývoje kontroly </w:t>
            </w:r>
          </w:p>
        </w:tc>
      </w:tr>
      <w:tr w:rsidR="009906BC" w:rsidRPr="00432A82" w:rsidTr="001C08F9">
        <w:tc>
          <w:tcPr>
            <w:tcW w:w="2031" w:type="dxa"/>
          </w:tcPr>
          <w:p w:rsidR="009906BC" w:rsidRPr="00155684" w:rsidRDefault="009906BC" w:rsidP="001C08F9">
            <w:pPr>
              <w:rPr>
                <w:sz w:val="22"/>
                <w:szCs w:val="22"/>
              </w:rPr>
            </w:pPr>
            <w:r w:rsidRPr="00155684">
              <w:rPr>
                <w:sz w:val="22"/>
                <w:szCs w:val="22"/>
              </w:rPr>
              <w:t xml:space="preserve">Budoucí náklady k současným </w:t>
            </w:r>
            <w:r w:rsidR="0030339A" w:rsidRPr="00155684">
              <w:rPr>
                <w:sz w:val="22"/>
                <w:szCs w:val="22"/>
              </w:rPr>
              <w:t>výnosům,</w:t>
            </w:r>
            <w:r>
              <w:rPr>
                <w:sz w:val="22"/>
                <w:szCs w:val="22"/>
              </w:rPr>
              <w:t xml:space="preserve"> slevy </w:t>
            </w:r>
          </w:p>
        </w:tc>
        <w:tc>
          <w:tcPr>
            <w:tcW w:w="1539" w:type="dxa"/>
          </w:tcPr>
          <w:p w:rsidR="009906BC" w:rsidRPr="0030339A" w:rsidRDefault="009906BC" w:rsidP="001C08F9">
            <w:pPr>
              <w:rPr>
                <w:i/>
                <w:iCs/>
                <w:sz w:val="22"/>
                <w:szCs w:val="22"/>
              </w:rPr>
            </w:pPr>
            <w:r w:rsidRPr="0030339A">
              <w:rPr>
                <w:i/>
                <w:iCs/>
                <w:sz w:val="22"/>
                <w:szCs w:val="22"/>
              </w:rPr>
              <w:t>Starosta</w:t>
            </w:r>
          </w:p>
        </w:tc>
        <w:tc>
          <w:tcPr>
            <w:tcW w:w="3535" w:type="dxa"/>
          </w:tcPr>
          <w:p w:rsidR="009906BC" w:rsidRPr="00155684" w:rsidRDefault="009906BC" w:rsidP="001C08F9">
            <w:pPr>
              <w:rPr>
                <w:sz w:val="22"/>
                <w:szCs w:val="22"/>
              </w:rPr>
            </w:pPr>
            <w:r w:rsidRPr="00155684">
              <w:rPr>
                <w:sz w:val="22"/>
                <w:szCs w:val="22"/>
              </w:rPr>
              <w:t xml:space="preserve">Závazek k vrácení části výnosů při splnění smluvních podmínek </w:t>
            </w:r>
          </w:p>
        </w:tc>
        <w:tc>
          <w:tcPr>
            <w:tcW w:w="3429" w:type="dxa"/>
          </w:tcPr>
          <w:p w:rsidR="009906BC" w:rsidRPr="00155684" w:rsidRDefault="009906BC" w:rsidP="001C08F9">
            <w:pPr>
              <w:rPr>
                <w:sz w:val="22"/>
                <w:szCs w:val="22"/>
              </w:rPr>
            </w:pPr>
            <w:r w:rsidRPr="00155684">
              <w:rPr>
                <w:sz w:val="22"/>
                <w:szCs w:val="22"/>
              </w:rPr>
              <w:t xml:space="preserve">Odhad % účastníků smluv, které podmínky splní a nejlepší odhad budoucích výplat </w:t>
            </w:r>
          </w:p>
        </w:tc>
      </w:tr>
      <w:tr w:rsidR="009906BC" w:rsidRPr="00432A82" w:rsidTr="001C08F9">
        <w:tc>
          <w:tcPr>
            <w:tcW w:w="2031" w:type="dxa"/>
          </w:tcPr>
          <w:p w:rsidR="009906BC" w:rsidRPr="00155684" w:rsidRDefault="009906BC" w:rsidP="001C08F9">
            <w:pPr>
              <w:rPr>
                <w:sz w:val="22"/>
                <w:szCs w:val="22"/>
              </w:rPr>
            </w:pPr>
            <w:r w:rsidRPr="00155684">
              <w:rPr>
                <w:sz w:val="22"/>
                <w:szCs w:val="22"/>
              </w:rPr>
              <w:t>Restrukturalizace</w:t>
            </w:r>
            <w:r>
              <w:rPr>
                <w:sz w:val="22"/>
                <w:szCs w:val="22"/>
              </w:rPr>
              <w:t xml:space="preserve"> (u obcí výjimečně)</w:t>
            </w:r>
          </w:p>
        </w:tc>
        <w:tc>
          <w:tcPr>
            <w:tcW w:w="1539" w:type="dxa"/>
          </w:tcPr>
          <w:p w:rsidR="009906BC" w:rsidRPr="0030339A" w:rsidRDefault="00E311F9" w:rsidP="001C08F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Starosta</w:t>
            </w:r>
          </w:p>
        </w:tc>
        <w:tc>
          <w:tcPr>
            <w:tcW w:w="3535" w:type="dxa"/>
          </w:tcPr>
          <w:p w:rsidR="009906BC" w:rsidRPr="00155684" w:rsidRDefault="009906BC" w:rsidP="001C08F9">
            <w:pPr>
              <w:rPr>
                <w:sz w:val="22"/>
                <w:szCs w:val="22"/>
              </w:rPr>
            </w:pPr>
            <w:r w:rsidRPr="00155684">
              <w:rPr>
                <w:sz w:val="22"/>
                <w:szCs w:val="22"/>
              </w:rPr>
              <w:t>Závazek z odstupného, rezerva na případně pracovněprávní soudní spory, ostatní náklady (postup dle IP</w:t>
            </w:r>
            <w:r>
              <w:rPr>
                <w:sz w:val="22"/>
                <w:szCs w:val="22"/>
              </w:rPr>
              <w:t>S</w:t>
            </w:r>
            <w:r w:rsidRPr="00155684">
              <w:rPr>
                <w:sz w:val="22"/>
                <w:szCs w:val="22"/>
              </w:rPr>
              <w:t xml:space="preserve">AS 19) </w:t>
            </w:r>
          </w:p>
        </w:tc>
        <w:tc>
          <w:tcPr>
            <w:tcW w:w="3429" w:type="dxa"/>
          </w:tcPr>
          <w:p w:rsidR="009906BC" w:rsidRPr="00155684" w:rsidRDefault="009906BC" w:rsidP="001C08F9">
            <w:pPr>
              <w:rPr>
                <w:sz w:val="22"/>
                <w:szCs w:val="22"/>
              </w:rPr>
            </w:pPr>
            <w:r w:rsidRPr="00155684">
              <w:rPr>
                <w:sz w:val="22"/>
                <w:szCs w:val="22"/>
              </w:rPr>
              <w:t>Nejlepší odhad na základě plánu restrukturalizace</w:t>
            </w:r>
          </w:p>
        </w:tc>
      </w:tr>
      <w:tr w:rsidR="009906BC" w:rsidRPr="00432A82" w:rsidTr="001C08F9">
        <w:tc>
          <w:tcPr>
            <w:tcW w:w="2031" w:type="dxa"/>
          </w:tcPr>
          <w:p w:rsidR="009906BC" w:rsidRPr="00155684" w:rsidRDefault="009906BC" w:rsidP="001C08F9">
            <w:pPr>
              <w:rPr>
                <w:sz w:val="22"/>
                <w:szCs w:val="22"/>
              </w:rPr>
            </w:pPr>
            <w:r w:rsidRPr="00155684">
              <w:rPr>
                <w:sz w:val="22"/>
                <w:szCs w:val="22"/>
              </w:rPr>
              <w:t>Sanace ekologických zátěží</w:t>
            </w:r>
          </w:p>
        </w:tc>
        <w:tc>
          <w:tcPr>
            <w:tcW w:w="1539" w:type="dxa"/>
          </w:tcPr>
          <w:p w:rsidR="009906BC" w:rsidRPr="0030339A" w:rsidRDefault="009906BC" w:rsidP="001C08F9">
            <w:pPr>
              <w:rPr>
                <w:i/>
                <w:iCs/>
                <w:sz w:val="22"/>
                <w:szCs w:val="22"/>
              </w:rPr>
            </w:pPr>
            <w:r w:rsidRPr="0030339A">
              <w:rPr>
                <w:i/>
                <w:iCs/>
                <w:sz w:val="22"/>
                <w:szCs w:val="22"/>
              </w:rPr>
              <w:t>Starosta</w:t>
            </w:r>
          </w:p>
        </w:tc>
        <w:tc>
          <w:tcPr>
            <w:tcW w:w="3535" w:type="dxa"/>
          </w:tcPr>
          <w:p w:rsidR="009906BC" w:rsidRPr="00155684" w:rsidRDefault="009906BC" w:rsidP="001C08F9">
            <w:pPr>
              <w:rPr>
                <w:sz w:val="22"/>
                <w:szCs w:val="22"/>
              </w:rPr>
            </w:pPr>
            <w:r w:rsidRPr="00155684">
              <w:rPr>
                <w:sz w:val="22"/>
                <w:szCs w:val="22"/>
              </w:rPr>
              <w:t xml:space="preserve">Odhad výše nákladů na odstranění ekologické zátěže – náklady vzniknou např. na základě výnosů z pronájmu pozemků </w:t>
            </w:r>
          </w:p>
        </w:tc>
        <w:tc>
          <w:tcPr>
            <w:tcW w:w="3429" w:type="dxa"/>
          </w:tcPr>
          <w:p w:rsidR="009906BC" w:rsidRPr="00155684" w:rsidRDefault="009906BC" w:rsidP="001C08F9">
            <w:pPr>
              <w:rPr>
                <w:sz w:val="22"/>
                <w:szCs w:val="22"/>
              </w:rPr>
            </w:pPr>
            <w:r w:rsidRPr="00155684">
              <w:rPr>
                <w:sz w:val="22"/>
                <w:szCs w:val="22"/>
              </w:rPr>
              <w:t>Nejlepší odhad na základě dostupných informací, případně kalkulace</w:t>
            </w:r>
          </w:p>
        </w:tc>
      </w:tr>
    </w:tbl>
    <w:p w:rsidR="009906BC" w:rsidRDefault="009906BC" w:rsidP="009906BC">
      <w:pPr>
        <w:pStyle w:val="n00"/>
        <w:rPr>
          <w:szCs w:val="24"/>
        </w:rPr>
      </w:pPr>
      <w:r w:rsidRPr="00646A2A">
        <w:rPr>
          <w:b/>
          <w:szCs w:val="24"/>
        </w:rPr>
        <w:t>Stanovení hranice významnosti:</w:t>
      </w:r>
      <w:r w:rsidRPr="00646A2A">
        <w:rPr>
          <w:szCs w:val="24"/>
        </w:rPr>
        <w:t xml:space="preserve"> Rezerva se bude tvořit jen v případě, pokud jednotlivý titul činí alespoň </w:t>
      </w:r>
      <w:r w:rsidR="0030339A" w:rsidRPr="0030339A">
        <w:rPr>
          <w:i/>
          <w:iCs/>
          <w:szCs w:val="24"/>
        </w:rPr>
        <w:t>0,3% aktiv netto</w:t>
      </w:r>
      <w:r w:rsidR="004323FB">
        <w:rPr>
          <w:i/>
          <w:iCs/>
          <w:szCs w:val="24"/>
        </w:rPr>
        <w:t>.</w:t>
      </w:r>
      <w:r w:rsidR="00AD05F3">
        <w:rPr>
          <w:i/>
          <w:iCs/>
          <w:szCs w:val="24"/>
        </w:rPr>
        <w:t xml:space="preserve"> </w:t>
      </w:r>
      <w:r w:rsidR="0030339A">
        <w:rPr>
          <w:szCs w:val="24"/>
        </w:rPr>
        <w:t xml:space="preserve"> </w:t>
      </w:r>
      <w:r w:rsidRPr="00646A2A">
        <w:rPr>
          <w:szCs w:val="24"/>
        </w:rPr>
        <w:t xml:space="preserve">   </w:t>
      </w:r>
    </w:p>
    <w:p w:rsidR="0030339A" w:rsidRPr="0030339A" w:rsidRDefault="0030339A" w:rsidP="009906BC">
      <w:pPr>
        <w:pStyle w:val="n00"/>
        <w:rPr>
          <w:szCs w:val="24"/>
        </w:rPr>
      </w:pPr>
      <w:r w:rsidRPr="0030339A">
        <w:rPr>
          <w:b/>
          <w:bCs/>
          <w:szCs w:val="24"/>
        </w:rPr>
        <w:t xml:space="preserve">Inventarizace: </w:t>
      </w:r>
      <w:r w:rsidRPr="0030339A">
        <w:rPr>
          <w:szCs w:val="24"/>
        </w:rPr>
        <w:t xml:space="preserve">Zůstatek rezervy na jednotlivé tituly je vždy předmětem inventury a inventarizace k 31.12. Součástí inventury je i vyhodnocení správnosti ocenění rezervy. </w:t>
      </w:r>
    </w:p>
    <w:p w:rsidR="009906BC" w:rsidRDefault="009906BC">
      <w:r w:rsidRPr="0030339A">
        <w:rPr>
          <w:b/>
          <w:bCs/>
        </w:rPr>
        <w:tab/>
      </w:r>
      <w:r w:rsidRPr="0030339A">
        <w:rPr>
          <w:b/>
          <w:bCs/>
        </w:rPr>
        <w:tab/>
      </w:r>
      <w:r w:rsidRPr="0030339A">
        <w:rPr>
          <w:b/>
          <w:bCs/>
        </w:rPr>
        <w:tab/>
      </w:r>
      <w:r>
        <w:tab/>
      </w:r>
      <w:r>
        <w:tab/>
      </w:r>
      <w:r>
        <w:tab/>
      </w:r>
    </w:p>
    <w:p w:rsidR="00E311F9" w:rsidRDefault="00E311F9"/>
    <w:p w:rsidR="009906BC" w:rsidRPr="009906BC" w:rsidRDefault="009906B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06BC">
        <w:rPr>
          <w:b/>
        </w:rPr>
        <w:t xml:space="preserve">II. Zákonné rezervy </w:t>
      </w:r>
    </w:p>
    <w:p w:rsidR="009906BC" w:rsidRPr="00646A2A" w:rsidRDefault="009906BC" w:rsidP="009906BC">
      <w:pPr>
        <w:pStyle w:val="n00"/>
        <w:rPr>
          <w:b/>
          <w:szCs w:val="24"/>
        </w:rPr>
      </w:pPr>
      <w:r w:rsidRPr="00646A2A">
        <w:rPr>
          <w:b/>
          <w:szCs w:val="24"/>
        </w:rPr>
        <w:t xml:space="preserve">Oblasti úpravy – „zákonné rezervy“ (zákon č. 593/1992 Sb.) </w:t>
      </w:r>
    </w:p>
    <w:p w:rsidR="009906BC" w:rsidRDefault="009906BC" w:rsidP="009906BC">
      <w:pPr>
        <w:pStyle w:val="n00"/>
        <w:rPr>
          <w:szCs w:val="24"/>
          <w:highlight w:val="yellow"/>
        </w:rPr>
      </w:pPr>
    </w:p>
    <w:sectPr w:rsidR="009906BC" w:rsidSect="005A322A">
      <w:pgSz w:w="11906" w:h="16838" w:code="9"/>
      <w:pgMar w:top="567" w:right="737" w:bottom="851" w:left="85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01B"/>
    <w:multiLevelType w:val="hybridMultilevel"/>
    <w:tmpl w:val="FEDE4A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4774"/>
    <w:multiLevelType w:val="multilevel"/>
    <w:tmpl w:val="C82CD40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hanging="425"/>
      </w:pPr>
    </w:lvl>
    <w:lvl w:ilvl="2">
      <w:start w:val="1"/>
      <w:numFmt w:val="decimal"/>
      <w:lvlText w:val="%3."/>
      <w:lvlJc w:val="left"/>
      <w:pPr>
        <w:ind w:left="426" w:hanging="426"/>
      </w:pPr>
    </w:lvl>
    <w:lvl w:ilvl="3">
      <w:start w:val="1"/>
      <w:numFmt w:val="decimal"/>
      <w:lvlText w:val="(%4)"/>
      <w:lvlJc w:val="left"/>
      <w:pPr>
        <w:ind w:left="1015" w:hanging="360"/>
      </w:pPr>
    </w:lvl>
    <w:lvl w:ilvl="4">
      <w:start w:val="1"/>
      <w:numFmt w:val="lowerLetter"/>
      <w:lvlText w:val="(%5)"/>
      <w:lvlJc w:val="left"/>
      <w:pPr>
        <w:ind w:left="1375" w:hanging="360"/>
      </w:pPr>
    </w:lvl>
    <w:lvl w:ilvl="5">
      <w:start w:val="1"/>
      <w:numFmt w:val="lowerRoman"/>
      <w:lvlText w:val="(%6)"/>
      <w:lvlJc w:val="left"/>
      <w:pPr>
        <w:ind w:left="1735" w:hanging="360"/>
      </w:pPr>
    </w:lvl>
    <w:lvl w:ilvl="6">
      <w:start w:val="1"/>
      <w:numFmt w:val="decimal"/>
      <w:lvlText w:val="%7."/>
      <w:lvlJc w:val="left"/>
      <w:pPr>
        <w:ind w:left="2095" w:hanging="360"/>
      </w:pPr>
    </w:lvl>
    <w:lvl w:ilvl="7">
      <w:start w:val="1"/>
      <w:numFmt w:val="lowerLetter"/>
      <w:lvlText w:val="%8."/>
      <w:lvlJc w:val="left"/>
      <w:pPr>
        <w:ind w:left="2455" w:hanging="360"/>
      </w:pPr>
    </w:lvl>
    <w:lvl w:ilvl="8">
      <w:start w:val="1"/>
      <w:numFmt w:val="lowerRoman"/>
      <w:lvlText w:val="%9."/>
      <w:lvlJc w:val="left"/>
      <w:pPr>
        <w:ind w:left="2815" w:hanging="360"/>
      </w:pPr>
    </w:lvl>
  </w:abstractNum>
  <w:abstractNum w:abstractNumId="2">
    <w:nsid w:val="38C2200D"/>
    <w:multiLevelType w:val="multilevel"/>
    <w:tmpl w:val="9E8291F0"/>
    <w:styleLink w:val="LFO4"/>
    <w:lvl w:ilvl="0">
      <w:start w:val="1"/>
      <w:numFmt w:val="decimal"/>
      <w:pStyle w:val="Textodstavce"/>
      <w:lvlText w:val="(%1)"/>
      <w:lvlJc w:val="left"/>
      <w:pPr>
        <w:ind w:left="425" w:firstLine="0"/>
      </w:pPr>
    </w:lvl>
    <w:lvl w:ilvl="1">
      <w:start w:val="1"/>
      <w:numFmt w:val="lowerLetter"/>
      <w:lvlText w:val="%2)"/>
      <w:lvlJc w:val="left"/>
      <w:pPr>
        <w:ind w:left="425" w:hanging="425"/>
      </w:pPr>
    </w:lvl>
    <w:lvl w:ilvl="2">
      <w:start w:val="1"/>
      <w:numFmt w:val="decimal"/>
      <w:lvlText w:val="%3."/>
      <w:lvlJc w:val="left"/>
      <w:pPr>
        <w:ind w:left="851" w:hanging="42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ACD3FF4"/>
    <w:multiLevelType w:val="multilevel"/>
    <w:tmpl w:val="4EE4C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906BC"/>
    <w:rsid w:val="000C143D"/>
    <w:rsid w:val="00174544"/>
    <w:rsid w:val="001C08F9"/>
    <w:rsid w:val="002055AC"/>
    <w:rsid w:val="002F4F42"/>
    <w:rsid w:val="0030339A"/>
    <w:rsid w:val="00314583"/>
    <w:rsid w:val="00317389"/>
    <w:rsid w:val="00333E20"/>
    <w:rsid w:val="003B67F2"/>
    <w:rsid w:val="004323FB"/>
    <w:rsid w:val="004C21C1"/>
    <w:rsid w:val="005A322A"/>
    <w:rsid w:val="005B1275"/>
    <w:rsid w:val="00625044"/>
    <w:rsid w:val="006329B2"/>
    <w:rsid w:val="00704E40"/>
    <w:rsid w:val="007A7B4E"/>
    <w:rsid w:val="007B7098"/>
    <w:rsid w:val="007F1E52"/>
    <w:rsid w:val="00974BAD"/>
    <w:rsid w:val="009906BC"/>
    <w:rsid w:val="00AA61A4"/>
    <w:rsid w:val="00AB1DFE"/>
    <w:rsid w:val="00AD05F3"/>
    <w:rsid w:val="00B30A9C"/>
    <w:rsid w:val="00B77142"/>
    <w:rsid w:val="00BE288C"/>
    <w:rsid w:val="00D262FE"/>
    <w:rsid w:val="00D266A5"/>
    <w:rsid w:val="00DC379C"/>
    <w:rsid w:val="00E30ED3"/>
    <w:rsid w:val="00E311F9"/>
    <w:rsid w:val="00EF51A2"/>
    <w:rsid w:val="00F67D1D"/>
    <w:rsid w:val="00FB52F9"/>
    <w:rsid w:val="00FF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B67F2"/>
    <w:pPr>
      <w:autoSpaceDN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rsid w:val="003B67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3B67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288C"/>
    <w:pPr>
      <w:keepNext/>
      <w:autoSpaceDN/>
      <w:spacing w:before="240" w:after="60" w:line="276" w:lineRule="auto"/>
      <w:textAlignment w:val="auto"/>
      <w:outlineLvl w:val="2"/>
    </w:pPr>
    <w:rPr>
      <w:bCs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B67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3B67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3B67F2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3B67F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3B67F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rsid w:val="003B67F2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B67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3B67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BE288C"/>
    <w:rPr>
      <w:rFonts w:ascii="Times New Roman" w:eastAsia="Times New Roman" w:hAnsi="Times New Roman"/>
      <w:bCs/>
      <w:sz w:val="24"/>
      <w:szCs w:val="26"/>
      <w:lang w:eastAsia="en-US"/>
    </w:rPr>
  </w:style>
  <w:style w:type="character" w:customStyle="1" w:styleId="Nadpis4Char">
    <w:name w:val="Nadpis 4 Char"/>
    <w:link w:val="Nadpis4"/>
    <w:uiPriority w:val="9"/>
    <w:rsid w:val="003B67F2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3B67F2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3B67F2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3B67F2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B67F2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3B67F2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3B67F2"/>
    <w:pPr>
      <w:pBdr>
        <w:bottom w:val="single" w:sz="8" w:space="4" w:color="4F81BD"/>
      </w:pBdr>
      <w:suppressAutoHyphens/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3B67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B67F2"/>
    <w:pPr>
      <w:numPr>
        <w:ilvl w:val="1"/>
      </w:numPr>
      <w:suppressAutoHyphens/>
      <w:spacing w:before="120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link w:val="Podtitul"/>
    <w:uiPriority w:val="11"/>
    <w:rsid w:val="003B67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rsid w:val="003B67F2"/>
    <w:rPr>
      <w:b/>
      <w:bCs/>
    </w:rPr>
  </w:style>
  <w:style w:type="character" w:styleId="Zvraznn">
    <w:name w:val="Emphasis"/>
    <w:uiPriority w:val="20"/>
    <w:qFormat/>
    <w:rsid w:val="003B67F2"/>
    <w:rPr>
      <w:i/>
      <w:iCs/>
    </w:rPr>
  </w:style>
  <w:style w:type="paragraph" w:styleId="Bezmezer">
    <w:name w:val="No Spacing"/>
    <w:uiPriority w:val="1"/>
    <w:qFormat/>
    <w:rsid w:val="00DC379C"/>
    <w:pPr>
      <w:suppressAutoHyphens/>
      <w:autoSpaceDN w:val="0"/>
      <w:jc w:val="both"/>
      <w:textAlignment w:val="baseline"/>
    </w:pPr>
    <w:rPr>
      <w:sz w:val="26"/>
    </w:rPr>
  </w:style>
  <w:style w:type="paragraph" w:styleId="Odstavecseseznamem">
    <w:name w:val="List Paragraph"/>
    <w:basedOn w:val="Normln"/>
    <w:uiPriority w:val="34"/>
    <w:rsid w:val="003B67F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B67F2"/>
    <w:pPr>
      <w:suppressAutoHyphens/>
      <w:spacing w:before="120"/>
      <w:jc w:val="both"/>
    </w:pPr>
    <w:rPr>
      <w:i/>
      <w:iCs/>
      <w:color w:val="000000"/>
      <w:sz w:val="26"/>
      <w:szCs w:val="20"/>
    </w:rPr>
  </w:style>
  <w:style w:type="character" w:customStyle="1" w:styleId="CitaceChar">
    <w:name w:val="Citace Char"/>
    <w:link w:val="Citace"/>
    <w:uiPriority w:val="29"/>
    <w:rsid w:val="003B67F2"/>
    <w:rPr>
      <w:i/>
      <w:iCs/>
      <w:color w:val="000000"/>
      <w:sz w:val="26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B67F2"/>
    <w:pPr>
      <w:pBdr>
        <w:bottom w:val="single" w:sz="4" w:space="4" w:color="4F81BD"/>
      </w:pBdr>
      <w:suppressAutoHyphens/>
      <w:spacing w:before="200" w:after="280"/>
      <w:ind w:left="936" w:right="936"/>
      <w:jc w:val="both"/>
    </w:pPr>
    <w:rPr>
      <w:b/>
      <w:bCs/>
      <w:i/>
      <w:iCs/>
      <w:color w:val="4F81BD"/>
      <w:sz w:val="26"/>
      <w:szCs w:val="20"/>
    </w:rPr>
  </w:style>
  <w:style w:type="character" w:customStyle="1" w:styleId="CitaceintenzivnChar">
    <w:name w:val="Citace – intenzivní Char"/>
    <w:link w:val="Citaceintenzivn"/>
    <w:uiPriority w:val="30"/>
    <w:rsid w:val="003B67F2"/>
    <w:rPr>
      <w:b/>
      <w:bCs/>
      <w:i/>
      <w:iCs/>
      <w:color w:val="4F81BD"/>
      <w:sz w:val="26"/>
    </w:rPr>
  </w:style>
  <w:style w:type="character" w:styleId="Zdraznnjemn">
    <w:name w:val="Subtle Emphasis"/>
    <w:uiPriority w:val="19"/>
    <w:qFormat/>
    <w:rsid w:val="003B67F2"/>
    <w:rPr>
      <w:i/>
      <w:iCs/>
      <w:color w:val="808080"/>
    </w:rPr>
  </w:style>
  <w:style w:type="character" w:styleId="Zdraznnintenzivn">
    <w:name w:val="Intense Emphasis"/>
    <w:uiPriority w:val="21"/>
    <w:qFormat/>
    <w:rsid w:val="003B67F2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3B67F2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3B67F2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3B67F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B67F2"/>
    <w:pPr>
      <w:keepLines/>
      <w:suppressAutoHyphens/>
      <w:spacing w:before="480" w:after="0"/>
      <w:jc w:val="both"/>
      <w:outlineLvl w:val="9"/>
    </w:pPr>
    <w:rPr>
      <w:color w:val="365F91"/>
      <w:kern w:val="0"/>
      <w:sz w:val="28"/>
      <w:szCs w:val="28"/>
    </w:rPr>
  </w:style>
  <w:style w:type="paragraph" w:customStyle="1" w:styleId="n00">
    <w:name w:val="n00"/>
    <w:basedOn w:val="Normln"/>
    <w:rsid w:val="009906BC"/>
    <w:pPr>
      <w:autoSpaceDN/>
      <w:spacing w:before="120"/>
      <w:jc w:val="both"/>
      <w:textAlignment w:val="auto"/>
    </w:pPr>
    <w:rPr>
      <w:szCs w:val="20"/>
    </w:rPr>
  </w:style>
  <w:style w:type="paragraph" w:customStyle="1" w:styleId="Textodstavce">
    <w:name w:val="Text odstavce"/>
    <w:basedOn w:val="Normln"/>
    <w:rsid w:val="009906BC"/>
    <w:pPr>
      <w:numPr>
        <w:numId w:val="1"/>
      </w:numPr>
      <w:tabs>
        <w:tab w:val="left" w:pos="360"/>
        <w:tab w:val="left" w:pos="426"/>
      </w:tabs>
      <w:suppressAutoHyphens/>
      <w:spacing w:before="120" w:after="120"/>
      <w:jc w:val="both"/>
      <w:outlineLvl w:val="6"/>
    </w:pPr>
    <w:rPr>
      <w:szCs w:val="20"/>
    </w:rPr>
  </w:style>
  <w:style w:type="numbering" w:customStyle="1" w:styleId="LFO4">
    <w:name w:val="LFO4"/>
    <w:basedOn w:val="Bezseznamu"/>
    <w:rsid w:val="009906B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Počítač</dc:creator>
  <cp:keywords/>
  <dc:description/>
  <cp:lastModifiedBy>sedlacek_z@centrum.cz</cp:lastModifiedBy>
  <cp:revision>5</cp:revision>
  <cp:lastPrinted>2023-01-10T17:01:00Z</cp:lastPrinted>
  <dcterms:created xsi:type="dcterms:W3CDTF">2020-11-19T20:22:00Z</dcterms:created>
  <dcterms:modified xsi:type="dcterms:W3CDTF">2023-01-10T17:01:00Z</dcterms:modified>
</cp:coreProperties>
</file>